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w:t>
      </w:r>
      <w:r w:rsidR="005B41F5" w:rsidRPr="005B41F5">
        <w:rPr>
          <w:rFonts w:ascii="Book Antiqua" w:hAnsi="Book Antiqua" w:cs="Arial"/>
          <w:sz w:val="22"/>
          <w:szCs w:val="22"/>
        </w:rPr>
        <w:t>Registro de Preços para futura e eventual aquisição de tintas viárias para sinalização horizontal das vias do município de Rolândia/PR</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36"/>
        <w:gridCol w:w="911"/>
        <w:gridCol w:w="4741"/>
        <w:gridCol w:w="1022"/>
        <w:gridCol w:w="1258"/>
      </w:tblGrid>
      <w:tr w:rsidR="00D63436" w:rsidRPr="000C0B6C" w:rsidTr="00F70418">
        <w:trPr>
          <w:trHeight w:val="672"/>
        </w:trPr>
        <w:tc>
          <w:tcPr>
            <w:tcW w:w="403" w:type="pct"/>
            <w:shd w:val="clear" w:color="auto" w:fill="auto"/>
            <w:noWrap/>
            <w:vAlign w:val="center"/>
            <w:hideMark/>
          </w:tcPr>
          <w:p w:rsidR="00D63436" w:rsidRPr="00676369" w:rsidRDefault="00D63436" w:rsidP="00F70418">
            <w:pPr>
              <w:rPr>
                <w:rFonts w:ascii="Book Antiqua" w:hAnsi="Book Antiqua" w:cs="Calibri"/>
                <w:b/>
                <w:bCs/>
                <w:color w:val="000000"/>
              </w:rPr>
            </w:pPr>
            <w:r w:rsidRPr="00676369">
              <w:rPr>
                <w:rFonts w:ascii="Book Antiqua" w:hAnsi="Book Antiqua" w:cs="Arial"/>
                <w:b/>
                <w:bCs/>
                <w:color w:val="000000"/>
              </w:rPr>
              <w:t>Item</w:t>
            </w:r>
          </w:p>
        </w:tc>
        <w:tc>
          <w:tcPr>
            <w:tcW w:w="582" w:type="pct"/>
            <w:shd w:val="clear" w:color="auto" w:fill="auto"/>
            <w:vAlign w:val="center"/>
            <w:hideMark/>
          </w:tcPr>
          <w:p w:rsidR="00D63436" w:rsidRPr="00676369" w:rsidRDefault="00D63436" w:rsidP="00F70418">
            <w:pPr>
              <w:rPr>
                <w:rFonts w:ascii="Book Antiqua" w:hAnsi="Book Antiqua" w:cs="Calibri"/>
                <w:b/>
                <w:bCs/>
                <w:color w:val="000000"/>
              </w:rPr>
            </w:pPr>
            <w:proofErr w:type="spellStart"/>
            <w:r w:rsidRPr="00676369">
              <w:rPr>
                <w:rFonts w:ascii="Book Antiqua" w:hAnsi="Book Antiqua" w:cs="Arial"/>
                <w:b/>
                <w:bCs/>
                <w:color w:val="000000"/>
              </w:rPr>
              <w:t>Und</w:t>
            </w:r>
            <w:proofErr w:type="spellEnd"/>
            <w:r w:rsidRPr="00676369">
              <w:rPr>
                <w:rFonts w:ascii="Book Antiqua" w:hAnsi="Book Antiqua" w:cs="Arial"/>
                <w:b/>
                <w:bCs/>
                <w:color w:val="000000"/>
              </w:rPr>
              <w:t>. Med.</w:t>
            </w:r>
          </w:p>
        </w:tc>
        <w:tc>
          <w:tcPr>
            <w:tcW w:w="468" w:type="pct"/>
            <w:shd w:val="clear" w:color="auto" w:fill="auto"/>
            <w:vAlign w:val="center"/>
            <w:hideMark/>
          </w:tcPr>
          <w:p w:rsidR="00D63436" w:rsidRPr="00676369" w:rsidRDefault="00D63436" w:rsidP="00F70418">
            <w:pPr>
              <w:rPr>
                <w:rFonts w:ascii="Book Antiqua" w:hAnsi="Book Antiqua" w:cs="Calibri"/>
                <w:b/>
                <w:bCs/>
                <w:color w:val="000000"/>
              </w:rPr>
            </w:pPr>
            <w:r w:rsidRPr="00676369">
              <w:rPr>
                <w:rFonts w:ascii="Book Antiqua" w:hAnsi="Book Antiqua" w:cs="Arial"/>
                <w:b/>
                <w:bCs/>
                <w:color w:val="000000"/>
              </w:rPr>
              <w:t>Quant.</w:t>
            </w:r>
          </w:p>
        </w:tc>
        <w:tc>
          <w:tcPr>
            <w:tcW w:w="2412" w:type="pct"/>
            <w:shd w:val="clear" w:color="auto" w:fill="auto"/>
            <w:vAlign w:val="center"/>
            <w:hideMark/>
          </w:tcPr>
          <w:p w:rsidR="00D63436" w:rsidRPr="00676369" w:rsidRDefault="00D63436" w:rsidP="00F70418">
            <w:pPr>
              <w:jc w:val="center"/>
              <w:rPr>
                <w:rFonts w:ascii="Book Antiqua" w:hAnsi="Book Antiqua" w:cs="Calibri"/>
                <w:b/>
                <w:bCs/>
                <w:color w:val="000000"/>
              </w:rPr>
            </w:pPr>
            <w:r w:rsidRPr="00676369">
              <w:rPr>
                <w:rFonts w:ascii="Book Antiqua" w:hAnsi="Book Antiqua" w:cs="Arial"/>
                <w:b/>
                <w:bCs/>
                <w:color w:val="000000"/>
              </w:rPr>
              <w:t>Discriminação do item</w:t>
            </w:r>
          </w:p>
        </w:tc>
        <w:tc>
          <w:tcPr>
            <w:tcW w:w="524" w:type="pct"/>
            <w:shd w:val="clear" w:color="auto" w:fill="auto"/>
            <w:vAlign w:val="center"/>
            <w:hideMark/>
          </w:tcPr>
          <w:p w:rsidR="00D63436" w:rsidRPr="00676369" w:rsidRDefault="00D63436" w:rsidP="00F70418">
            <w:pPr>
              <w:jc w:val="center"/>
              <w:rPr>
                <w:rFonts w:ascii="Book Antiqua" w:hAnsi="Book Antiqua" w:cs="Calibri"/>
                <w:b/>
                <w:bCs/>
                <w:color w:val="000000"/>
              </w:rPr>
            </w:pPr>
            <w:r w:rsidRPr="00676369">
              <w:rPr>
                <w:rFonts w:ascii="Book Antiqua" w:hAnsi="Book Antiqua" w:cs="Calibri"/>
                <w:b/>
                <w:bCs/>
                <w:color w:val="000000"/>
              </w:rPr>
              <w:t>Preço Unitário</w:t>
            </w:r>
          </w:p>
        </w:tc>
        <w:tc>
          <w:tcPr>
            <w:tcW w:w="611" w:type="pct"/>
            <w:shd w:val="clear" w:color="auto" w:fill="auto"/>
            <w:vAlign w:val="center"/>
            <w:hideMark/>
          </w:tcPr>
          <w:p w:rsidR="00D63436" w:rsidRPr="00676369" w:rsidRDefault="00D63436" w:rsidP="00F70418">
            <w:pPr>
              <w:jc w:val="center"/>
              <w:rPr>
                <w:rFonts w:ascii="Book Antiqua" w:hAnsi="Book Antiqua" w:cs="Calibri"/>
                <w:b/>
                <w:bCs/>
                <w:color w:val="000000"/>
              </w:rPr>
            </w:pPr>
            <w:r w:rsidRPr="00676369">
              <w:rPr>
                <w:rFonts w:ascii="Book Antiqua" w:hAnsi="Book Antiqua" w:cs="Calibri"/>
                <w:b/>
                <w:bCs/>
                <w:color w:val="000000"/>
              </w:rPr>
              <w:t>Preço Total</w:t>
            </w:r>
          </w:p>
        </w:tc>
      </w:tr>
      <w:tr w:rsidR="00D63436" w:rsidRPr="000C0B6C" w:rsidTr="00F70418">
        <w:trPr>
          <w:trHeight w:val="672"/>
        </w:trPr>
        <w:tc>
          <w:tcPr>
            <w:tcW w:w="403" w:type="pct"/>
            <w:shd w:val="clear" w:color="auto" w:fill="auto"/>
            <w:noWrap/>
            <w:vAlign w:val="center"/>
          </w:tcPr>
          <w:p w:rsidR="00D63436" w:rsidRPr="00676369" w:rsidRDefault="00D63436" w:rsidP="00F70418">
            <w:pPr>
              <w:jc w:val="center"/>
            </w:pPr>
            <w:r w:rsidRPr="00676369">
              <w:t>1</w:t>
            </w:r>
          </w:p>
        </w:tc>
        <w:tc>
          <w:tcPr>
            <w:tcW w:w="582" w:type="pct"/>
            <w:shd w:val="clear" w:color="auto" w:fill="auto"/>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1125</w:t>
            </w:r>
          </w:p>
        </w:tc>
        <w:tc>
          <w:tcPr>
            <w:tcW w:w="2412" w:type="pct"/>
            <w:shd w:val="clear" w:color="auto" w:fill="auto"/>
            <w:vAlign w:val="center"/>
          </w:tcPr>
          <w:p w:rsidR="00D63436" w:rsidRPr="00676369" w:rsidRDefault="00D63436" w:rsidP="00F70418">
            <w:r w:rsidRPr="00676369">
              <w:t>Solvente para diluição e limpeza de tinta para demarcação viária, a base de resina metil metacrilato, em lata de 18L.</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189,00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212.625,00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2</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375</w:t>
            </w:r>
          </w:p>
        </w:tc>
        <w:tc>
          <w:tcPr>
            <w:tcW w:w="2412" w:type="pct"/>
            <w:shd w:val="clear" w:color="auto" w:fill="auto"/>
            <w:vAlign w:val="center"/>
          </w:tcPr>
          <w:p w:rsidR="00D63436" w:rsidRPr="00676369" w:rsidRDefault="00D63436" w:rsidP="00F70418">
            <w:r w:rsidRPr="00676369">
              <w:t>COTA ME/EPP -  Solvente para diluição e limpeza de tinta para demarcação viária, a base de resina metil metacrilato, em lata de 18L.</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189,00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70.875,00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3</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1500</w:t>
            </w:r>
          </w:p>
        </w:tc>
        <w:tc>
          <w:tcPr>
            <w:tcW w:w="2412" w:type="pct"/>
            <w:shd w:val="clear" w:color="auto" w:fill="auto"/>
            <w:vAlign w:val="center"/>
          </w:tcPr>
          <w:p w:rsidR="00D63436" w:rsidRPr="00676369" w:rsidRDefault="00D63436" w:rsidP="00F70418">
            <w:r w:rsidRPr="00676369">
              <w:t>Tinta de demarcação viária de cor branca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199,50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299.250,00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4</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500</w:t>
            </w:r>
          </w:p>
        </w:tc>
        <w:tc>
          <w:tcPr>
            <w:tcW w:w="2412" w:type="pct"/>
            <w:shd w:val="clear" w:color="auto" w:fill="auto"/>
            <w:vAlign w:val="center"/>
          </w:tcPr>
          <w:p w:rsidR="00D63436" w:rsidRPr="00676369" w:rsidRDefault="00D63436" w:rsidP="00F70418">
            <w:r w:rsidRPr="00676369">
              <w:t>COTA ME/EPP - Tinta de demarcação viária de cor branca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199,50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99.750,00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5</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1500</w:t>
            </w:r>
          </w:p>
        </w:tc>
        <w:tc>
          <w:tcPr>
            <w:tcW w:w="2412" w:type="pct"/>
            <w:shd w:val="clear" w:color="auto" w:fill="auto"/>
            <w:vAlign w:val="center"/>
          </w:tcPr>
          <w:p w:rsidR="00D63436" w:rsidRPr="00676369" w:rsidRDefault="00D63436" w:rsidP="00F70418">
            <w:r w:rsidRPr="00676369">
              <w:t>Tinta de demarcação viária de cor vermelha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220,00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330.000,00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6</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500</w:t>
            </w:r>
          </w:p>
        </w:tc>
        <w:tc>
          <w:tcPr>
            <w:tcW w:w="2412" w:type="pct"/>
            <w:shd w:val="clear" w:color="auto" w:fill="auto"/>
            <w:vAlign w:val="center"/>
          </w:tcPr>
          <w:p w:rsidR="00D63436" w:rsidRPr="00676369" w:rsidRDefault="00D63436" w:rsidP="00F70418">
            <w:r w:rsidRPr="00676369">
              <w:t>COTA ME/EPP - Tinta de demarcação viária de cor vermelha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220,00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110.000,00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7</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1500</w:t>
            </w:r>
          </w:p>
        </w:tc>
        <w:tc>
          <w:tcPr>
            <w:tcW w:w="2412" w:type="pct"/>
            <w:shd w:val="clear" w:color="auto" w:fill="auto"/>
            <w:vAlign w:val="center"/>
          </w:tcPr>
          <w:p w:rsidR="00D63436" w:rsidRPr="00676369" w:rsidRDefault="00D63436" w:rsidP="00F70418">
            <w:r w:rsidRPr="00676369">
              <w:t>Tinta de demarcação viária de cor amarela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199,50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299.250,00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lastRenderedPageBreak/>
              <w:t>8</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500</w:t>
            </w:r>
          </w:p>
        </w:tc>
        <w:tc>
          <w:tcPr>
            <w:tcW w:w="2412" w:type="pct"/>
            <w:shd w:val="clear" w:color="auto" w:fill="auto"/>
            <w:vAlign w:val="center"/>
          </w:tcPr>
          <w:p w:rsidR="00D63436" w:rsidRPr="00676369" w:rsidRDefault="00D63436" w:rsidP="00F70418">
            <w:r w:rsidRPr="00676369">
              <w:t>COTA ME/EPP -  Tinta de demarcação viária de cor amarela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199,50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99.750,00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9</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750</w:t>
            </w:r>
          </w:p>
        </w:tc>
        <w:tc>
          <w:tcPr>
            <w:tcW w:w="2412" w:type="pct"/>
            <w:shd w:val="clear" w:color="auto" w:fill="auto"/>
            <w:vAlign w:val="center"/>
          </w:tcPr>
          <w:p w:rsidR="00D63436" w:rsidRPr="00676369" w:rsidRDefault="00D63436" w:rsidP="00F70418">
            <w:r w:rsidRPr="00676369">
              <w:t>Tinta de demarcação viária de cor azul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230,00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172.500,00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10</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250</w:t>
            </w:r>
          </w:p>
        </w:tc>
        <w:tc>
          <w:tcPr>
            <w:tcW w:w="2412" w:type="pct"/>
            <w:shd w:val="clear" w:color="auto" w:fill="auto"/>
            <w:vAlign w:val="center"/>
          </w:tcPr>
          <w:p w:rsidR="00D63436" w:rsidRPr="00676369" w:rsidRDefault="00D63436" w:rsidP="00F70418">
            <w:r w:rsidRPr="00676369">
              <w:t>COTA ME/EPP -  Tinta de demarcação viária de cor azul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230,00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57.500,00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11</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750</w:t>
            </w:r>
          </w:p>
        </w:tc>
        <w:tc>
          <w:tcPr>
            <w:tcW w:w="2412" w:type="pct"/>
            <w:shd w:val="clear" w:color="auto" w:fill="auto"/>
            <w:vAlign w:val="center"/>
          </w:tcPr>
          <w:p w:rsidR="00D63436" w:rsidRPr="00676369" w:rsidRDefault="00D63436" w:rsidP="00F70418">
            <w:r w:rsidRPr="00676369">
              <w:t>Tinta de demarcação viária de cor preta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204,50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153.375,00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12</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250</w:t>
            </w:r>
          </w:p>
        </w:tc>
        <w:tc>
          <w:tcPr>
            <w:tcW w:w="2412" w:type="pct"/>
            <w:shd w:val="clear" w:color="auto" w:fill="auto"/>
            <w:vAlign w:val="center"/>
          </w:tcPr>
          <w:p w:rsidR="00D63436" w:rsidRPr="00676369" w:rsidRDefault="00D63436" w:rsidP="00F70418">
            <w:r w:rsidRPr="00676369">
              <w:t>COTA ME/EPP -  Tinta de demarcação viária de cor preta resina acrílica a base de solvente, em lata de 18L.</w:t>
            </w:r>
            <w:r w:rsidRPr="00676369">
              <w:br/>
              <w:t>Conforme NBR 11.862/ 2020.</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204,50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51.125,00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13</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1125</w:t>
            </w:r>
          </w:p>
        </w:tc>
        <w:tc>
          <w:tcPr>
            <w:tcW w:w="2412" w:type="pct"/>
            <w:shd w:val="clear" w:color="auto" w:fill="auto"/>
            <w:vAlign w:val="center"/>
          </w:tcPr>
          <w:p w:rsidR="00D63436" w:rsidRPr="00676369" w:rsidRDefault="00D63436" w:rsidP="00F70418">
            <w:r w:rsidRPr="00676369">
              <w:t>Tinta acrílica branca para meio-fio, resina acrílica à base de água, cor branca, para sinalização viária horizontal, recomendada para pintura de meio-fio, em lata de 18L.</w:t>
            </w:r>
            <w:r w:rsidRPr="00676369">
              <w:br/>
              <w:t>Conforme NBR 13.699/ 2021.</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158,99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178.863,75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14</w:t>
            </w:r>
          </w:p>
        </w:tc>
        <w:tc>
          <w:tcPr>
            <w:tcW w:w="582" w:type="pct"/>
            <w:shd w:val="clear" w:color="auto" w:fill="auto"/>
            <w:noWrap/>
            <w:vAlign w:val="center"/>
          </w:tcPr>
          <w:p w:rsidR="00D63436" w:rsidRPr="00676369" w:rsidRDefault="00D63436" w:rsidP="00F70418">
            <w:pPr>
              <w:jc w:val="center"/>
            </w:pPr>
            <w:r w:rsidRPr="00676369">
              <w:t>Lata</w:t>
            </w:r>
          </w:p>
        </w:tc>
        <w:tc>
          <w:tcPr>
            <w:tcW w:w="468" w:type="pct"/>
            <w:shd w:val="clear" w:color="auto" w:fill="auto"/>
            <w:vAlign w:val="center"/>
          </w:tcPr>
          <w:p w:rsidR="00D63436" w:rsidRPr="00676369" w:rsidRDefault="00D63436" w:rsidP="00F70418">
            <w:pPr>
              <w:jc w:val="center"/>
            </w:pPr>
            <w:r w:rsidRPr="00676369">
              <w:t>375</w:t>
            </w:r>
          </w:p>
        </w:tc>
        <w:tc>
          <w:tcPr>
            <w:tcW w:w="2412" w:type="pct"/>
            <w:shd w:val="clear" w:color="auto" w:fill="auto"/>
            <w:vAlign w:val="center"/>
          </w:tcPr>
          <w:p w:rsidR="00D63436" w:rsidRPr="00676369" w:rsidRDefault="00D63436" w:rsidP="00F70418">
            <w:r w:rsidRPr="00676369">
              <w:t>COTA ME/EPP -  Tinta acrílica branca para meio-fio, resina acrílica à base de água, cor branca, para sinalização viária horizontal, recomendada para pintura de meio-fio, em lata de 18L.</w:t>
            </w:r>
            <w:r w:rsidRPr="00676369">
              <w:br/>
              <w:t>Conforme NBR 13.699/ 2021.</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158,99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59.621,25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15</w:t>
            </w:r>
          </w:p>
        </w:tc>
        <w:tc>
          <w:tcPr>
            <w:tcW w:w="582" w:type="pct"/>
            <w:shd w:val="clear" w:color="auto" w:fill="auto"/>
            <w:noWrap/>
            <w:vAlign w:val="center"/>
          </w:tcPr>
          <w:p w:rsidR="00D63436" w:rsidRPr="00676369" w:rsidRDefault="00D63436" w:rsidP="00F70418">
            <w:pPr>
              <w:jc w:val="center"/>
            </w:pPr>
            <w:r w:rsidRPr="00676369">
              <w:t>Saco</w:t>
            </w:r>
          </w:p>
        </w:tc>
        <w:tc>
          <w:tcPr>
            <w:tcW w:w="468" w:type="pct"/>
            <w:shd w:val="clear" w:color="auto" w:fill="auto"/>
            <w:vAlign w:val="center"/>
          </w:tcPr>
          <w:p w:rsidR="00D63436" w:rsidRPr="00676369" w:rsidRDefault="00D63436" w:rsidP="00F70418">
            <w:pPr>
              <w:jc w:val="center"/>
            </w:pPr>
            <w:r w:rsidRPr="00676369">
              <w:t>1500</w:t>
            </w:r>
          </w:p>
        </w:tc>
        <w:tc>
          <w:tcPr>
            <w:tcW w:w="2412" w:type="pct"/>
            <w:shd w:val="clear" w:color="auto" w:fill="auto"/>
            <w:vAlign w:val="center"/>
          </w:tcPr>
          <w:p w:rsidR="00D63436" w:rsidRPr="00676369" w:rsidRDefault="00D63436" w:rsidP="00F70418">
            <w:r w:rsidRPr="00676369">
              <w:t>Microesfera de vidro tipo DROP ON, IIA, em sacos de 25Kg.</w:t>
            </w:r>
            <w:r w:rsidRPr="00676369">
              <w:br/>
              <w:t>Conforme ABNT NBR 16184:2021.</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160,00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240.000,00 </w:t>
            </w:r>
          </w:p>
        </w:tc>
      </w:tr>
      <w:tr w:rsidR="00D63436" w:rsidRPr="000C0B6C" w:rsidTr="00F70418">
        <w:trPr>
          <w:trHeight w:val="300"/>
        </w:trPr>
        <w:tc>
          <w:tcPr>
            <w:tcW w:w="403" w:type="pct"/>
            <w:shd w:val="clear" w:color="auto" w:fill="auto"/>
            <w:noWrap/>
            <w:vAlign w:val="center"/>
          </w:tcPr>
          <w:p w:rsidR="00D63436" w:rsidRPr="00676369" w:rsidRDefault="00D63436" w:rsidP="00F70418">
            <w:pPr>
              <w:jc w:val="center"/>
            </w:pPr>
            <w:r w:rsidRPr="00676369">
              <w:t>16</w:t>
            </w:r>
          </w:p>
        </w:tc>
        <w:tc>
          <w:tcPr>
            <w:tcW w:w="582" w:type="pct"/>
            <w:shd w:val="clear" w:color="auto" w:fill="auto"/>
            <w:noWrap/>
            <w:vAlign w:val="center"/>
          </w:tcPr>
          <w:p w:rsidR="00D63436" w:rsidRPr="00676369" w:rsidRDefault="00D63436" w:rsidP="00F70418">
            <w:pPr>
              <w:jc w:val="center"/>
            </w:pPr>
            <w:r w:rsidRPr="00676369">
              <w:t>Saco</w:t>
            </w:r>
          </w:p>
        </w:tc>
        <w:tc>
          <w:tcPr>
            <w:tcW w:w="468" w:type="pct"/>
            <w:shd w:val="clear" w:color="auto" w:fill="auto"/>
            <w:vAlign w:val="center"/>
          </w:tcPr>
          <w:p w:rsidR="00D63436" w:rsidRPr="00676369" w:rsidRDefault="00D63436" w:rsidP="00F70418">
            <w:pPr>
              <w:jc w:val="center"/>
            </w:pPr>
            <w:r w:rsidRPr="00676369">
              <w:t>500</w:t>
            </w:r>
          </w:p>
        </w:tc>
        <w:tc>
          <w:tcPr>
            <w:tcW w:w="2412" w:type="pct"/>
            <w:shd w:val="clear" w:color="auto" w:fill="auto"/>
            <w:vAlign w:val="center"/>
          </w:tcPr>
          <w:p w:rsidR="00D63436" w:rsidRPr="00676369" w:rsidRDefault="00D63436" w:rsidP="00F70418">
            <w:r w:rsidRPr="00676369">
              <w:t>COTA ME/EPP -  Microesfera de vidro tipo DROP ON, IIA, em sacos de 25Kg.</w:t>
            </w:r>
            <w:r w:rsidRPr="00676369">
              <w:br/>
              <w:t>Conforme ABNT NBR 16184:2021.</w:t>
            </w:r>
          </w:p>
        </w:tc>
        <w:tc>
          <w:tcPr>
            <w:tcW w:w="524" w:type="pct"/>
            <w:shd w:val="clear" w:color="auto" w:fill="auto"/>
            <w:vAlign w:val="center"/>
          </w:tcPr>
          <w:p w:rsidR="00D63436" w:rsidRPr="00676369" w:rsidRDefault="00D63436" w:rsidP="00F70418">
            <w:pPr>
              <w:jc w:val="center"/>
              <w:rPr>
                <w:rFonts w:ascii="Arial" w:hAnsi="Arial" w:cs="Arial"/>
                <w:color w:val="111827"/>
              </w:rPr>
            </w:pPr>
            <w:r w:rsidRPr="00676369">
              <w:rPr>
                <w:rFonts w:ascii="Arial" w:hAnsi="Arial" w:cs="Arial"/>
                <w:color w:val="111827"/>
              </w:rPr>
              <w:t xml:space="preserve"> R$       160,00 </w:t>
            </w:r>
          </w:p>
        </w:tc>
        <w:tc>
          <w:tcPr>
            <w:tcW w:w="611" w:type="pct"/>
            <w:shd w:val="clear" w:color="auto" w:fill="auto"/>
            <w:vAlign w:val="center"/>
          </w:tcPr>
          <w:p w:rsidR="00D63436" w:rsidRPr="00676369" w:rsidRDefault="00D63436" w:rsidP="00F70418">
            <w:pPr>
              <w:jc w:val="center"/>
              <w:rPr>
                <w:rFonts w:ascii="Arial" w:hAnsi="Arial" w:cs="Arial"/>
                <w:bCs/>
              </w:rPr>
            </w:pPr>
            <w:r w:rsidRPr="00676369">
              <w:rPr>
                <w:rFonts w:ascii="Arial" w:hAnsi="Arial" w:cs="Arial"/>
                <w:bCs/>
              </w:rPr>
              <w:t xml:space="preserve"> R$                  80.000,00 </w:t>
            </w:r>
          </w:p>
        </w:tc>
      </w:tr>
      <w:tr w:rsidR="00D63436" w:rsidRPr="000C0B6C" w:rsidTr="00F70418">
        <w:trPr>
          <w:gridBefore w:val="4"/>
          <w:wBefore w:w="3865" w:type="pct"/>
          <w:trHeight w:val="300"/>
        </w:trPr>
        <w:tc>
          <w:tcPr>
            <w:tcW w:w="524" w:type="pct"/>
            <w:shd w:val="clear" w:color="auto" w:fill="auto"/>
            <w:vAlign w:val="center"/>
          </w:tcPr>
          <w:p w:rsidR="00D63436" w:rsidRPr="00676369" w:rsidRDefault="00D63436" w:rsidP="00F70418">
            <w:pPr>
              <w:rPr>
                <w:rFonts w:ascii="Book Antiqua" w:hAnsi="Book Antiqua"/>
                <w:b/>
              </w:rPr>
            </w:pPr>
            <w:r w:rsidRPr="00676369">
              <w:rPr>
                <w:rFonts w:ascii="Book Antiqua" w:hAnsi="Book Antiqua"/>
                <w:b/>
              </w:rPr>
              <w:t>TOTAL:</w:t>
            </w:r>
          </w:p>
        </w:tc>
        <w:tc>
          <w:tcPr>
            <w:tcW w:w="611" w:type="pct"/>
            <w:shd w:val="clear" w:color="auto" w:fill="auto"/>
            <w:vAlign w:val="center"/>
          </w:tcPr>
          <w:p w:rsidR="00D63436" w:rsidRPr="00676369" w:rsidRDefault="00D63436" w:rsidP="00F70418">
            <w:pPr>
              <w:ind w:left="-50" w:firstLine="38"/>
              <w:jc w:val="center"/>
              <w:rPr>
                <w:rFonts w:ascii="Arial" w:hAnsi="Arial" w:cs="Arial"/>
              </w:rPr>
            </w:pPr>
            <w:r>
              <w:rPr>
                <w:rFonts w:ascii="Arial" w:hAnsi="Arial" w:cs="Arial"/>
              </w:rPr>
              <w:t xml:space="preserve">R$ </w:t>
            </w:r>
            <w:r w:rsidRPr="00676369">
              <w:rPr>
                <w:rFonts w:ascii="Arial" w:hAnsi="Arial" w:cs="Arial"/>
              </w:rPr>
              <w:t xml:space="preserve">2.514.485,00 </w:t>
            </w: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lastRenderedPageBreak/>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Substituir os produtos em desacordo à proposta ou às especificações do objeto desta licitação, ou que porventura sejam entregues com defeitos ou imperfeições.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 transporte dos produtos deverá ser feito dentro do preconizado para cada um e devidamente protegido quanto a danos.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Em caso de dano e extravio do produto durante o transporte, o mesmo deverá ser devidamente reposto, sem qualquer ônus adicional para o município.</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A adjudicatária, assim como a contratante, deverá atender a Lei Federal 12.846/2013, a fim de inibir as práticas de fraude e corrupção. </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Os produtos deverão obedecer às normas e padrão ABNT, INMETRO, ANVISA, Legislação Vigente e demais </w:t>
      </w:r>
      <w:r w:rsidR="00D63436" w:rsidRPr="00091763">
        <w:rPr>
          <w:rFonts w:ascii="Book Antiqua" w:hAnsi="Book Antiqua"/>
          <w:sz w:val="22"/>
          <w:szCs w:val="22"/>
        </w:rPr>
        <w:t>órgãos reguladores referentes</w:t>
      </w:r>
      <w:r w:rsidRPr="00091763">
        <w:rPr>
          <w:rFonts w:ascii="Book Antiqua" w:hAnsi="Book Antiqua"/>
          <w:sz w:val="22"/>
          <w:szCs w:val="22"/>
        </w:rPr>
        <w:t xml:space="preserve"> ao ramo de atividades.</w:t>
      </w:r>
    </w:p>
    <w:p w:rsidR="005B41F5" w:rsidRPr="00091763" w:rsidRDefault="005B41F5" w:rsidP="005B41F5">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091763">
        <w:rPr>
          <w:rFonts w:ascii="Book Antiqua" w:hAnsi="Book Antiqua"/>
          <w:szCs w:val="22"/>
        </w:rPr>
        <w:t>O produto deverá atender integralmente as especificações do edital.</w:t>
      </w:r>
    </w:p>
    <w:p w:rsidR="005B41F5" w:rsidRPr="00091763" w:rsidRDefault="005B41F5" w:rsidP="005B41F5">
      <w:pPr>
        <w:pStyle w:val="Estilo1"/>
        <w:numPr>
          <w:ilvl w:val="0"/>
          <w:numId w:val="19"/>
        </w:numPr>
        <w:spacing w:after="0" w:line="240" w:lineRule="auto"/>
        <w:ind w:left="426" w:hanging="426"/>
      </w:pPr>
      <w:r w:rsidRPr="00091763">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5B41F5" w:rsidRPr="00091763" w:rsidRDefault="005B41F5" w:rsidP="005B41F5">
      <w:pPr>
        <w:pStyle w:val="Estilo1"/>
        <w:numPr>
          <w:ilvl w:val="0"/>
          <w:numId w:val="19"/>
        </w:numPr>
        <w:spacing w:after="0" w:line="240" w:lineRule="auto"/>
        <w:ind w:left="426" w:hanging="426"/>
      </w:pPr>
      <w:r w:rsidRPr="00091763">
        <w:t xml:space="preserve">Se os itens apresentarem desconformidades com as exigências normativas, não serão recebidos definitivamente, devendo ser imediatamente substituídos pela </w:t>
      </w:r>
      <w:r w:rsidRPr="00091763">
        <w:rPr>
          <w:bCs/>
        </w:rPr>
        <w:t>contratada</w:t>
      </w:r>
      <w:r w:rsidRPr="00091763">
        <w:t xml:space="preserve">, sem ônus para a </w:t>
      </w:r>
      <w:r w:rsidRPr="00091763">
        <w:rPr>
          <w:bCs/>
        </w:rPr>
        <w:t>administração</w:t>
      </w:r>
      <w:r w:rsidRPr="00091763">
        <w:t xml:space="preserve">. </w:t>
      </w:r>
    </w:p>
    <w:p w:rsidR="005B41F5" w:rsidRPr="00091763" w:rsidRDefault="005B41F5" w:rsidP="005B41F5">
      <w:pPr>
        <w:pStyle w:val="Estilo1"/>
        <w:numPr>
          <w:ilvl w:val="0"/>
          <w:numId w:val="19"/>
        </w:numPr>
        <w:spacing w:after="0" w:line="240" w:lineRule="auto"/>
        <w:ind w:left="426" w:hanging="426"/>
      </w:pPr>
      <w:r w:rsidRPr="00091763">
        <w:t xml:space="preserve">Consultar com antecedência o seu fornecedor quanto ao prazo de entrega dos itens especificados, </w:t>
      </w:r>
      <w:r w:rsidRPr="00091763">
        <w:rPr>
          <w:bCs/>
        </w:rPr>
        <w:t xml:space="preserve">não cabendo, portanto, a justificativa de atraso do fornecimento </w:t>
      </w:r>
      <w:r w:rsidRPr="00091763">
        <w:t xml:space="preserve">devido ao não cumprimento da entrega por parte do fornecedor. </w:t>
      </w:r>
    </w:p>
    <w:p w:rsidR="005B41F5" w:rsidRPr="00091763" w:rsidRDefault="005B41F5" w:rsidP="005B41F5">
      <w:pPr>
        <w:pStyle w:val="Estilo1"/>
        <w:numPr>
          <w:ilvl w:val="0"/>
          <w:numId w:val="19"/>
        </w:numPr>
        <w:spacing w:after="0" w:line="240" w:lineRule="auto"/>
        <w:ind w:left="426" w:hanging="426"/>
      </w:pPr>
      <w:r w:rsidRPr="00091763">
        <w:t xml:space="preserve">Aceitar toda e qualquer fiscalização da </w:t>
      </w:r>
      <w:r w:rsidRPr="00091763">
        <w:rPr>
          <w:bCs/>
        </w:rPr>
        <w:t>administração</w:t>
      </w:r>
      <w:r w:rsidRPr="00091763">
        <w:t>, no tocante ao objeto do presente termo de referência, assim como ao cumprimento das obrigações previstas no edital</w:t>
      </w:r>
      <w:r w:rsidRPr="00091763">
        <w:rPr>
          <w:bCs/>
        </w:rPr>
        <w:t>.</w:t>
      </w:r>
    </w:p>
    <w:p w:rsidR="005B41F5" w:rsidRPr="00091763" w:rsidRDefault="005B41F5" w:rsidP="005B41F5">
      <w:pPr>
        <w:pStyle w:val="Estilo1"/>
        <w:numPr>
          <w:ilvl w:val="0"/>
          <w:numId w:val="19"/>
        </w:numPr>
        <w:spacing w:after="0" w:line="240" w:lineRule="auto"/>
        <w:ind w:left="426" w:hanging="426"/>
      </w:pPr>
      <w:r w:rsidRPr="00091763">
        <w:t xml:space="preserve">A existência e atuação da fiscalização da </w:t>
      </w:r>
      <w:r w:rsidRPr="00091763">
        <w:rPr>
          <w:bCs/>
        </w:rPr>
        <w:t>administração</w:t>
      </w:r>
      <w:r w:rsidRPr="00091763">
        <w:t xml:space="preserve">, em nada restringem a responsabilidade única, integral e exclusiva da </w:t>
      </w:r>
      <w:r w:rsidRPr="00091763">
        <w:rPr>
          <w:bCs/>
        </w:rPr>
        <w:t>contratada</w:t>
      </w:r>
      <w:r w:rsidRPr="00091763">
        <w:t xml:space="preserve">, no que concerne ao fornecimento dos equipamentos e as suas consequências e implicações. </w:t>
      </w:r>
    </w:p>
    <w:p w:rsidR="005B41F5" w:rsidRPr="00091763" w:rsidRDefault="005B41F5" w:rsidP="005B41F5">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091763">
        <w:rPr>
          <w:rFonts w:ascii="Book Antiqua" w:hAnsi="Book Antiqua" w:cs="Helvetica"/>
          <w:sz w:val="22"/>
          <w:szCs w:val="22"/>
        </w:rPr>
        <w:lastRenderedPageBreak/>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091763">
        <w:rPr>
          <w:rFonts w:ascii="Book Antiqua" w:hAnsi="Book Antiqua" w:cs="Helvetica"/>
          <w:sz w:val="22"/>
          <w:szCs w:val="22"/>
        </w:rPr>
        <w:t>arts</w:t>
      </w:r>
      <w:proofErr w:type="spellEnd"/>
      <w:r w:rsidRPr="00091763">
        <w:rPr>
          <w:rFonts w:ascii="Book Antiqua" w:hAnsi="Book Antiqua" w:cs="Helvetica"/>
          <w:sz w:val="22"/>
          <w:szCs w:val="22"/>
        </w:rPr>
        <w:t xml:space="preserve">. 155 a 163, da Lei nº 14.133/21). Ocorrendo a irregularidade a Administração Pública fará a abertura de processo administrativo, por meio do </w:t>
      </w:r>
      <w:r w:rsidR="00D63436" w:rsidRPr="00091763">
        <w:rPr>
          <w:rFonts w:ascii="Book Antiqua" w:hAnsi="Book Antiqua" w:cs="Helvetica"/>
          <w:sz w:val="22"/>
          <w:szCs w:val="22"/>
        </w:rPr>
        <w:t>fiscal instrumento</w:t>
      </w:r>
      <w:r w:rsidRPr="00091763">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 fornecimento dos produtos deverá ser efetuado</w:t>
      </w:r>
      <w:r w:rsidR="005442B0">
        <w:rPr>
          <w:rFonts w:ascii="Book Antiqua" w:hAnsi="Book Antiqua"/>
          <w:sz w:val="22"/>
          <w:szCs w:val="22"/>
        </w:rPr>
        <w:t xml:space="preserve"> no prazo máximo de 10 dias úteis, contados da data de recebimento da Autorização de Fornecimento</w:t>
      </w:r>
      <w:bookmarkStart w:id="0" w:name="_GoBack"/>
      <w:bookmarkEnd w:id="0"/>
      <w:r w:rsidRPr="00091763">
        <w:rPr>
          <w:rFonts w:ascii="Book Antiqua" w:hAnsi="Book Antiqua"/>
          <w:sz w:val="22"/>
          <w:szCs w:val="22"/>
        </w:rPr>
        <w:t xml:space="preserve">.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 fornecimento dos produtos deverá ser efetuado de acordo com o local indicado na requisição, desde que apresentada à requisição devidamente preenchida.</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091763">
          <w:rPr>
            <w:rFonts w:ascii="Book Antiqua" w:hAnsi="Book Antiqua"/>
            <w:sz w:val="22"/>
            <w:szCs w:val="22"/>
          </w:rPr>
          <w:t>1 a</w:t>
        </w:r>
      </w:smartTag>
      <w:r w:rsidRPr="00091763">
        <w:rPr>
          <w:rFonts w:ascii="Book Antiqua" w:hAnsi="Book Antiqua"/>
          <w:sz w:val="22"/>
          <w:szCs w:val="22"/>
        </w:rPr>
        <w:t xml:space="preserve"> 3 dias úteis para a substituição da nota fiscal por outra contendo apenas os itens aprovados.</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091763">
        <w:rPr>
          <w:rFonts w:ascii="Book Antiqua" w:hAnsi="Book Antiqua"/>
          <w:sz w:val="22"/>
          <w:szCs w:val="22"/>
        </w:rPr>
        <w:t>facultando-se-lhe</w:t>
      </w:r>
      <w:proofErr w:type="spellEnd"/>
      <w:r w:rsidRPr="00091763">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5B41F5" w:rsidRPr="00091763" w:rsidRDefault="005B41F5" w:rsidP="005B41F5">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091763">
        <w:rPr>
          <w:rFonts w:ascii="Book Antiqua" w:hAnsi="Book Antiqua"/>
          <w:szCs w:val="22"/>
        </w:rPr>
        <w:t>Caso a proponente entregue um produto que não se ajusta nos padrões utilizados no município, o mesmo deverá ser substituído para que atenda tais padrões, para não acarretar em prejuízos ao patrimônio e erário público.</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Todos os itens licitados devem estar de acordo com o descritivo constante em sua respectiva discriminação.</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Os materiais serão recebidos provisoriamente, para efeito de posterior verificação de sua conformidade com as especificações constantes neste Documento de Referência.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A verificação da conformidade das especificações dos materiais ocorrerá no ato da entrega. Admitida à conformidade quantitativa e qualitativa, os materiais serão recebidos definitivamente, mediante “atesto” na Nota Fiscal, com a consequente aceitação dos objetos.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lastRenderedPageBreak/>
        <w:t xml:space="preserve">Na hipótese de constatação de anomalias que comprometam a utilização adequada dos materiais, estes serão rejeitados, em todo ou em parte, conforme dispõe a Lei nº 14.133/21, sem qualquer ônus para a Prefeitura Municipal de Rolândia, devendo o fornecedor reapresentá-los no prazo de até 02 (dois) dias corridos, a partir da data de solicitação da substituição.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Caberá ao fornecedor arcar com os custos diretos e indiretos, inclusive despesas com embalagem, taxas de frete e seguro da entrega dos materiais a serem substituídos.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Os materiais deverão ser entregues acondicionados em embalagem própria para cada material.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A Prefeitura Municipal de Rolândia reserva-se o direito de impugnar os materiais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5B41F5" w:rsidRDefault="005B41F5" w:rsidP="00A7189E">
      <w:pPr>
        <w:pStyle w:val="NormalWeb"/>
        <w:shd w:val="clear" w:color="auto" w:fill="FFFFFF"/>
        <w:spacing w:before="0" w:beforeAutospacing="0" w:after="0" w:afterAutospacing="0"/>
        <w:jc w:val="both"/>
        <w:rPr>
          <w:rFonts w:ascii="Book Antiqua" w:hAnsi="Book Antiqua" w:cs="Helvetica"/>
          <w:b/>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 xml:space="preserve">Para acompanhamento e recebimento do </w:t>
      </w:r>
      <w:r w:rsidR="005B41F5">
        <w:rPr>
          <w:rFonts w:ascii="Book Antiqua" w:hAnsi="Book Antiqua" w:cs="Helvetica"/>
          <w:sz w:val="22"/>
          <w:szCs w:val="22"/>
        </w:rPr>
        <w:t>produto</w:t>
      </w:r>
      <w:r w:rsidRPr="002F1B2D">
        <w:rPr>
          <w:rFonts w:ascii="Book Antiqua" w:hAnsi="Book Antiqua" w:cs="Helvetica"/>
          <w:sz w:val="22"/>
          <w:szCs w:val="22"/>
        </w:rPr>
        <w:t>, fica designado o</w:t>
      </w:r>
      <w:r>
        <w:rPr>
          <w:rFonts w:ascii="Book Antiqua" w:hAnsi="Book Antiqua" w:cs="Helvetica"/>
          <w:sz w:val="22"/>
          <w:szCs w:val="22"/>
        </w:rPr>
        <w:t xml:space="preserve"> solicitante do </w:t>
      </w:r>
      <w:r w:rsidR="005B41F5">
        <w:rPr>
          <w:rFonts w:ascii="Book Antiqua" w:hAnsi="Book Antiqua" w:cs="Helvetica"/>
          <w:sz w:val="22"/>
          <w:szCs w:val="22"/>
        </w:rPr>
        <w:t>produto</w:t>
      </w:r>
      <w:r>
        <w:rPr>
          <w:rFonts w:ascii="Book Antiqua" w:hAnsi="Book Antiqua" w:cs="Helvetica"/>
          <w:sz w:val="22"/>
          <w:szCs w:val="22"/>
        </w:rPr>
        <w:t xml:space="preserve">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w:t>
      </w:r>
      <w:r w:rsidR="005B41F5">
        <w:rPr>
          <w:rFonts w:ascii="Book Antiqua" w:hAnsi="Book Antiqua" w:cs="Helvetica"/>
          <w:sz w:val="22"/>
          <w:szCs w:val="22"/>
        </w:rPr>
        <w:t xml:space="preserve"> </w:t>
      </w:r>
      <w:r w:rsidR="00656533">
        <w:rPr>
          <w:rFonts w:ascii="Book Antiqua" w:hAnsi="Book Antiqua" w:cs="Helvetica"/>
          <w:sz w:val="22"/>
          <w:szCs w:val="22"/>
        </w:rPr>
        <w:t>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w:t>
      </w:r>
      <w:r w:rsidR="005B41F5">
        <w:rPr>
          <w:rFonts w:ascii="Book Antiqua" w:hAnsi="Book Antiqua" w:cs="Helvetica"/>
          <w:sz w:val="22"/>
          <w:szCs w:val="22"/>
        </w:rPr>
        <w:t xml:space="preserve"> </w:t>
      </w:r>
      <w:r>
        <w:rPr>
          <w:rFonts w:ascii="Book Antiqua" w:hAnsi="Book Antiqua" w:cs="Helvetica"/>
          <w:sz w:val="22"/>
          <w:szCs w:val="22"/>
        </w:rPr>
        <w:t xml:space="preserve">prestado, o servidor responsável pelo recebimento NÃO receberá o </w:t>
      </w:r>
      <w:r w:rsidR="005B41F5">
        <w:rPr>
          <w:rFonts w:ascii="Book Antiqua" w:hAnsi="Book Antiqua" w:cs="Helvetica"/>
          <w:sz w:val="22"/>
          <w:szCs w:val="22"/>
        </w:rPr>
        <w:t>produto</w:t>
      </w:r>
      <w:r>
        <w:rPr>
          <w:rFonts w:ascii="Book Antiqua" w:hAnsi="Book Antiqua" w:cs="Helvetica"/>
          <w:sz w:val="22"/>
          <w:szCs w:val="22"/>
        </w:rPr>
        <w:t>,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 solicitado e na quantidade solicitada, sendo que registro de preços não há um limite mínimo de pedido, podendo ser solicitada a quantidade integral, ou apenas uma única unidade do produto.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005B41F5" w:rsidRPr="00D63436">
        <w:rPr>
          <w:rFonts w:ascii="Book Antiqua" w:hAnsi="Book Antiqua" w:cs="Arial"/>
          <w:color w:val="auto"/>
          <w:szCs w:val="22"/>
        </w:rPr>
        <w:t xml:space="preserve">R$ </w:t>
      </w:r>
      <w:r w:rsidR="00D63436" w:rsidRPr="00D63436">
        <w:rPr>
          <w:rFonts w:ascii="Book Antiqua" w:hAnsi="Book Antiqua" w:cs="Arial"/>
          <w:color w:val="auto"/>
          <w:szCs w:val="22"/>
        </w:rPr>
        <w:t>2.514.485,00 (dois milhões, quinhentos e quatorze mil, quatrocentos e oitenta e cinco reais)</w:t>
      </w:r>
      <w:r w:rsidR="005B41F5" w:rsidRPr="00D63436">
        <w:rPr>
          <w:rFonts w:ascii="Book Antiqua" w:hAnsi="Book Antiqua" w:cs="Arial"/>
          <w:b w:val="0"/>
          <w:color w:val="auto"/>
          <w:szCs w:val="22"/>
        </w:rPr>
        <w:t>,</w:t>
      </w:r>
      <w:r w:rsidRPr="00D63436">
        <w:rPr>
          <w:rFonts w:ascii="Book Antiqua" w:hAnsi="Book Antiqua" w:cs="Arial"/>
          <w:b w:val="0"/>
          <w:color w:val="auto"/>
          <w:szCs w:val="22"/>
        </w:rPr>
        <w:t xml:space="preserve"> </w:t>
      </w:r>
      <w:r w:rsidRPr="003C6597">
        <w:rPr>
          <w:rFonts w:ascii="Book Antiqua" w:hAnsi="Book Antiqua" w:cs="Arial"/>
          <w:b w:val="0"/>
          <w:color w:val="auto"/>
          <w:szCs w:val="22"/>
        </w:rPr>
        <w:t xml:space="preserve">conforme as respectivas notas de empenho. O pagamento será realizado no prazo de até 30 (trinta) dias contados do recebimento </w:t>
      </w:r>
      <w:r w:rsidR="005B41F5">
        <w:rPr>
          <w:rFonts w:ascii="Book Antiqua" w:hAnsi="Book Antiqua" w:cs="Arial"/>
          <w:b w:val="0"/>
          <w:color w:val="auto"/>
          <w:szCs w:val="22"/>
        </w:rPr>
        <w:t>definitivo pelo Solicitante da Mercadoria</w:t>
      </w:r>
      <w:r w:rsidRPr="003C6597">
        <w:rPr>
          <w:rFonts w:ascii="Book Antiqua" w:hAnsi="Book Antiqua" w:cs="Arial"/>
          <w:b w:val="0"/>
          <w:color w:val="auto"/>
          <w:szCs w:val="22"/>
        </w:rPr>
        <w:t>.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A adjudicatária deverá apresentar acompanhando todas as faturas, as provas de regularidade com a Previdência Social (CND-INSS), com o Fundo de Garantia por Tempo de Serviço – FGTS </w:t>
      </w:r>
      <w:r w:rsidRPr="00D46EA7">
        <w:rPr>
          <w:rFonts w:ascii="Book Antiqua" w:hAnsi="Book Antiqua" w:cs="Arial"/>
          <w:szCs w:val="22"/>
        </w:rPr>
        <w:lastRenderedPageBreak/>
        <w:t>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lastRenderedPageBreak/>
        <w:t xml:space="preserve">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w:t>
      </w:r>
      <w:r w:rsidR="005B41F5">
        <w:rPr>
          <w:rFonts w:ascii="Book Antiqua" w:hAnsi="Book Antiqua" w:cs="Arial"/>
          <w:b/>
          <w:sz w:val="22"/>
          <w:szCs w:val="22"/>
        </w:rPr>
        <w:t>produto</w:t>
      </w:r>
      <w:r w:rsidRPr="00512845">
        <w:rPr>
          <w:rFonts w:ascii="Book Antiqua" w:hAnsi="Book Antiqua" w:cs="Arial"/>
          <w:b/>
          <w:sz w:val="22"/>
          <w:szCs w:val="22"/>
        </w:rPr>
        <w:t xml:space="preserve">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w:t>
      </w:r>
      <w:r w:rsidRPr="00791821">
        <w:rPr>
          <w:rFonts w:ascii="Book Antiqua" w:eastAsia="Arial Unicode MS" w:hAnsi="Book Antiqua" w:cs="Helvetica"/>
          <w:b w:val="0"/>
          <w:i w:val="0"/>
          <w:color w:val="auto"/>
          <w:sz w:val="22"/>
          <w:szCs w:val="22"/>
          <w:lang w:eastAsia="pt-BR"/>
        </w:rPr>
        <w:lastRenderedPageBreak/>
        <w:t>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Nos casos não previstos, devem ser observadas as disposições da Lei Federal nº 14.133/2021.</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Pr="005B41F5" w:rsidRDefault="003737DD" w:rsidP="003737DD">
      <w:pPr>
        <w:pStyle w:val="Corpodetexto"/>
        <w:spacing w:line="240" w:lineRule="auto"/>
        <w:rPr>
          <w:rStyle w:val="Forte"/>
          <w:b/>
          <w:bCs w:val="0"/>
          <w:color w:val="auto"/>
          <w:sz w:val="20"/>
        </w:rPr>
      </w:pPr>
      <w:r w:rsidRPr="005B41F5">
        <w:rPr>
          <w:rStyle w:val="Forte"/>
          <w:b/>
          <w:bCs w:val="0"/>
          <w:color w:val="auto"/>
          <w:sz w:val="20"/>
        </w:rPr>
        <w:t xml:space="preserve">1. O prazo de entrega dos itens será de até </w:t>
      </w:r>
      <w:r w:rsidR="005B41F5" w:rsidRPr="005B41F5">
        <w:rPr>
          <w:rStyle w:val="Forte"/>
          <w:b/>
          <w:bCs w:val="0"/>
          <w:color w:val="auto"/>
          <w:sz w:val="20"/>
        </w:rPr>
        <w:t>10</w:t>
      </w:r>
      <w:r w:rsidRPr="005B41F5">
        <w:rPr>
          <w:rStyle w:val="Forte"/>
          <w:b/>
          <w:bCs w:val="0"/>
          <w:color w:val="auto"/>
          <w:sz w:val="20"/>
        </w:rPr>
        <w:t xml:space="preserve"> (</w:t>
      </w:r>
      <w:r w:rsidR="005B41F5" w:rsidRPr="005B41F5">
        <w:rPr>
          <w:rStyle w:val="Forte"/>
          <w:b/>
          <w:bCs w:val="0"/>
          <w:color w:val="auto"/>
          <w:sz w:val="20"/>
        </w:rPr>
        <w:t>Dez</w:t>
      </w:r>
      <w:r w:rsidRPr="005B41F5">
        <w:rPr>
          <w:rStyle w:val="Forte"/>
          <w:b/>
          <w:bCs w:val="0"/>
          <w:color w:val="auto"/>
          <w:sz w:val="20"/>
        </w:rPr>
        <w:t>) dias</w:t>
      </w:r>
      <w:r w:rsidR="005B41F5" w:rsidRPr="005B41F5">
        <w:rPr>
          <w:rStyle w:val="Forte"/>
          <w:b/>
          <w:bCs w:val="0"/>
          <w:color w:val="auto"/>
          <w:sz w:val="20"/>
        </w:rPr>
        <w:t xml:space="preserve"> úteis</w:t>
      </w:r>
      <w:r w:rsidRPr="005B41F5">
        <w:rPr>
          <w:rStyle w:val="Forte"/>
          <w:b/>
          <w:bCs w:val="0"/>
          <w:color w:val="auto"/>
          <w:sz w:val="20"/>
        </w:rPr>
        <w:t xml:space="preserve">, contados a partir </w:t>
      </w:r>
      <w:r w:rsidR="005B41F5" w:rsidRPr="005B41F5">
        <w:rPr>
          <w:rStyle w:val="Forte"/>
          <w:b/>
          <w:bCs w:val="0"/>
          <w:color w:val="auto"/>
          <w:sz w:val="20"/>
        </w:rPr>
        <w:t>do recebimento da Autorização de Fornecimento</w:t>
      </w:r>
      <w:r w:rsidRPr="005B41F5">
        <w:rPr>
          <w:rStyle w:val="Forte"/>
          <w:b/>
          <w:bCs w:val="0"/>
          <w:color w:val="auto"/>
          <w:sz w:val="20"/>
        </w:rPr>
        <w:t>.</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5B41F5">
      <w:pPr>
        <w:spacing w:after="40" w:line="240" w:lineRule="auto"/>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5B41F5">
      <w:pPr>
        <w:spacing w:after="0" w:line="240" w:lineRule="auto"/>
        <w:ind w:left="567"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5B41F5">
      <w:pPr>
        <w:spacing w:after="0" w:line="240" w:lineRule="auto"/>
        <w:ind w:left="567"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5B41F5">
      <w:pPr>
        <w:spacing w:after="0" w:line="240" w:lineRule="auto"/>
        <w:ind w:left="567"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5B41F5">
      <w:pPr>
        <w:spacing w:after="60" w:line="240" w:lineRule="auto"/>
        <w:ind w:left="567"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proofErr w:type="gramStart"/>
      <w:r>
        <w:rPr>
          <w:rStyle w:val="Forte"/>
          <w:rFonts w:ascii="Book Antiqua" w:hAnsi="Book Antiqua"/>
          <w:b w:val="0"/>
        </w:rPr>
        <w:t>4.</w:t>
      </w:r>
      <w:r>
        <w:rPr>
          <w:rStyle w:val="Forte"/>
          <w:rFonts w:ascii="Book Antiqua" w:hAnsi="Book Antiqua"/>
          <w:b w:val="0"/>
        </w:rPr>
        <w:tab/>
        <w:t>Os</w:t>
      </w:r>
      <w:proofErr w:type="gramEnd"/>
      <w:r>
        <w:rPr>
          <w:rStyle w:val="Forte"/>
          <w:rFonts w:ascii="Book Antiqua" w:hAnsi="Book Antiqua"/>
          <w:b w:val="0"/>
        </w:rPr>
        <w:t xml:space="preserve">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5B41F5" w:rsidRDefault="00C63C6D" w:rsidP="00A7189E">
      <w:pPr>
        <w:spacing w:after="0" w:line="240" w:lineRule="auto"/>
        <w:jc w:val="both"/>
        <w:rPr>
          <w:rFonts w:ascii="Book Antiqua" w:hAnsi="Book Antiqua" w:cs="Arial"/>
          <w:b/>
          <w:sz w:val="22"/>
          <w:szCs w:val="22"/>
          <w:u w:val="single"/>
        </w:rPr>
      </w:pPr>
      <w:r w:rsidRPr="005B41F5">
        <w:rPr>
          <w:rFonts w:ascii="Book Antiqua" w:hAnsi="Book Antiqua" w:cs="Arial"/>
          <w:b/>
          <w:sz w:val="22"/>
          <w:szCs w:val="22"/>
          <w:u w:val="single"/>
        </w:rPr>
        <w:t xml:space="preserve">CLÁUSULA </w:t>
      </w:r>
      <w:r w:rsidR="002F1B2D" w:rsidRPr="005B41F5">
        <w:rPr>
          <w:rFonts w:ascii="Book Antiqua" w:hAnsi="Book Antiqua" w:cs="Arial"/>
          <w:b/>
          <w:sz w:val="22"/>
          <w:szCs w:val="22"/>
          <w:u w:val="single"/>
        </w:rPr>
        <w:t>DOZE</w:t>
      </w:r>
      <w:r w:rsidRPr="005B41F5">
        <w:rPr>
          <w:rFonts w:ascii="Book Antiqua" w:hAnsi="Book Antiqua" w:cs="Arial"/>
          <w:b/>
          <w:sz w:val="22"/>
          <w:szCs w:val="22"/>
          <w:u w:val="single"/>
        </w:rPr>
        <w:t xml:space="preserve"> – DA DOTAÇÃO ORÇAMENTÁRIA</w:t>
      </w:r>
    </w:p>
    <w:p w:rsidR="005B41F5" w:rsidRPr="00D46EA7" w:rsidRDefault="005B41F5" w:rsidP="00A7189E">
      <w:pPr>
        <w:spacing w:after="0" w:line="240" w:lineRule="auto"/>
        <w:jc w:val="both"/>
        <w:rPr>
          <w:rFonts w:ascii="Book Antiqua" w:hAnsi="Book Antiqua" w:cs="Arial"/>
          <w:b/>
          <w:sz w:val="22"/>
          <w:szCs w:val="22"/>
        </w:rPr>
      </w:pPr>
    </w:p>
    <w:p w:rsidR="00C63C6D" w:rsidRPr="005B41F5" w:rsidRDefault="00C63C6D" w:rsidP="00A7189E">
      <w:pPr>
        <w:spacing w:after="0" w:line="240" w:lineRule="auto"/>
        <w:jc w:val="both"/>
        <w:rPr>
          <w:rFonts w:ascii="Book Antiqua" w:hAnsi="Book Antiqua"/>
          <w:sz w:val="22"/>
          <w:szCs w:val="22"/>
        </w:rPr>
      </w:pPr>
      <w:r w:rsidRPr="005B41F5">
        <w:rPr>
          <w:rFonts w:ascii="Book Antiqua" w:hAnsi="Book Antiqua"/>
          <w:sz w:val="22"/>
          <w:szCs w:val="22"/>
        </w:rPr>
        <w:t>Serão utilizadas as seguintes classificações orçamentárias:</w:t>
      </w:r>
    </w:p>
    <w:p w:rsidR="00A7189E" w:rsidRPr="005B41F5" w:rsidRDefault="00C63C6D" w:rsidP="00A7189E">
      <w:pPr>
        <w:spacing w:after="0" w:line="240" w:lineRule="auto"/>
        <w:jc w:val="both"/>
        <w:rPr>
          <w:rFonts w:ascii="Book Antiqua" w:hAnsi="Book Antiqua"/>
          <w:sz w:val="22"/>
          <w:szCs w:val="22"/>
        </w:rPr>
      </w:pPr>
      <w:r w:rsidRPr="005B41F5">
        <w:rPr>
          <w:rFonts w:ascii="Book Antiqua" w:hAnsi="Book Antiqua"/>
          <w:b/>
          <w:sz w:val="22"/>
          <w:szCs w:val="22"/>
        </w:rPr>
        <w:t>Órgão:</w:t>
      </w:r>
      <w:r w:rsidRPr="005B41F5">
        <w:rPr>
          <w:rFonts w:ascii="Book Antiqua" w:hAnsi="Book Antiqua"/>
          <w:sz w:val="22"/>
          <w:szCs w:val="22"/>
        </w:rPr>
        <w:t xml:space="preserve"> </w:t>
      </w:r>
      <w:r w:rsidR="005B41F5" w:rsidRPr="005B41F5">
        <w:rPr>
          <w:rFonts w:ascii="Book Antiqua" w:hAnsi="Book Antiqua"/>
          <w:sz w:val="22"/>
          <w:szCs w:val="22"/>
        </w:rPr>
        <w:t xml:space="preserve">29 – Secretaria de Segurança </w:t>
      </w:r>
      <w:proofErr w:type="spellStart"/>
      <w:r w:rsidR="005B41F5" w:rsidRPr="005B41F5">
        <w:rPr>
          <w:rFonts w:ascii="Book Antiqua" w:hAnsi="Book Antiqua"/>
          <w:sz w:val="22"/>
          <w:szCs w:val="22"/>
        </w:rPr>
        <w:t>Públcia</w:t>
      </w:r>
      <w:proofErr w:type="spellEnd"/>
      <w:r w:rsidR="005B41F5" w:rsidRPr="005B41F5">
        <w:rPr>
          <w:rFonts w:ascii="Book Antiqua" w:hAnsi="Book Antiqua"/>
          <w:sz w:val="22"/>
          <w:szCs w:val="22"/>
        </w:rPr>
        <w:t>, Trânsito e Mobilidade Urbana.</w:t>
      </w:r>
    </w:p>
    <w:p w:rsidR="00A7189E" w:rsidRPr="005B41F5" w:rsidRDefault="00C63C6D" w:rsidP="00A7189E">
      <w:pPr>
        <w:spacing w:after="0" w:line="240" w:lineRule="auto"/>
        <w:jc w:val="both"/>
        <w:rPr>
          <w:rFonts w:ascii="Book Antiqua" w:hAnsi="Book Antiqua"/>
          <w:sz w:val="22"/>
          <w:szCs w:val="22"/>
        </w:rPr>
      </w:pPr>
      <w:r w:rsidRPr="005B41F5">
        <w:rPr>
          <w:rFonts w:ascii="Book Antiqua" w:hAnsi="Book Antiqua"/>
          <w:b/>
          <w:sz w:val="22"/>
          <w:szCs w:val="22"/>
        </w:rPr>
        <w:t xml:space="preserve">Classificação Orçamentária: </w:t>
      </w:r>
      <w:r w:rsidRPr="005B41F5">
        <w:rPr>
          <w:rFonts w:ascii="Book Antiqua" w:hAnsi="Book Antiqua"/>
          <w:sz w:val="22"/>
          <w:szCs w:val="22"/>
        </w:rPr>
        <w:t>33.90.30.00.00.00 – MATERIAL DE CONSUMO.</w:t>
      </w:r>
    </w:p>
    <w:p w:rsidR="003C5319" w:rsidRPr="005B41F5" w:rsidRDefault="003C5319" w:rsidP="003C5319">
      <w:pPr>
        <w:spacing w:after="0" w:line="240" w:lineRule="auto"/>
        <w:jc w:val="both"/>
        <w:rPr>
          <w:rFonts w:ascii="Book Antiqua" w:hAnsi="Book Antiqua"/>
          <w:sz w:val="22"/>
          <w:szCs w:val="22"/>
        </w:rPr>
      </w:pPr>
      <w:r w:rsidRPr="005B41F5">
        <w:rPr>
          <w:rFonts w:ascii="Book Antiqua" w:hAnsi="Book Antiqua"/>
          <w:sz w:val="22"/>
          <w:szCs w:val="22"/>
        </w:rPr>
        <w:t>As dotações a serem utilizadas por determinação das secretarias competentes, cumprem o</w:t>
      </w:r>
      <w:r w:rsidR="00B340C6" w:rsidRPr="005B41F5">
        <w:rPr>
          <w:rFonts w:ascii="Book Antiqua" w:hAnsi="Book Antiqua"/>
          <w:sz w:val="22"/>
          <w:szCs w:val="22"/>
        </w:rPr>
        <w:t xml:space="preserve"> Artigo Décimo Sétimo do</w:t>
      </w:r>
      <w:r w:rsidRPr="005B41F5">
        <w:rPr>
          <w:rFonts w:ascii="Book Antiqua" w:hAnsi="Book Antiqua"/>
          <w:sz w:val="22"/>
          <w:szCs w:val="22"/>
        </w:rPr>
        <w:t xml:space="preserve"> Decreto Federal nº 11.462 de 31 de março de 2023</w:t>
      </w:r>
      <w:r w:rsidR="00B340C6" w:rsidRPr="005B41F5">
        <w:rPr>
          <w:rFonts w:ascii="Book Antiqua" w:hAnsi="Book Antiqua"/>
          <w:sz w:val="22"/>
          <w:szCs w:val="22"/>
        </w:rPr>
        <w:t>,</w:t>
      </w:r>
      <w:r w:rsidRPr="005B41F5">
        <w:rPr>
          <w:rFonts w:ascii="Book Antiqua" w:hAnsi="Book Antiqua"/>
          <w:sz w:val="22"/>
          <w:szCs w:val="22"/>
        </w:rPr>
        <w:t xml:space="preserve"> o qual normatiza que na licitação para registro de preços não é necessário indicar a dotação orçamentária</w:t>
      </w:r>
      <w:r w:rsidR="00B340C6" w:rsidRPr="005B41F5">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5B41F5">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594B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D63436">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101854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RODAPÉ.png"/>
                  <pic:cNvPicPr/>
                </pic:nvPicPr>
                <pic:blipFill>
                  <a:blip r:embed="rId1">
                    <a:extLst>
                      <a:ext uri="{28A0092B-C50C-407E-A947-70E740481C1C}">
                        <a14:useLocalDpi xmlns:a14="http://schemas.microsoft.com/office/drawing/2010/main" val="0"/>
                      </a:ext>
                    </a:extLst>
                  </a:blip>
                  <a:stretch>
                    <a:fillRect/>
                  </a:stretch>
                </pic:blipFill>
                <pic:spPr>
                  <a:xfrm>
                    <a:off x="0" y="0"/>
                    <a:ext cx="6120765" cy="1018540"/>
                  </a:xfrm>
                  <a:prstGeom prst="rect">
                    <a:avLst/>
                  </a:prstGeom>
                </pic:spPr>
              </pic:pic>
            </a:graphicData>
          </a:graphic>
        </wp:inline>
      </w:drawing>
    </w:r>
    <w:r w:rsidR="00C63C6D">
      <w:rPr>
        <w:rFonts w:ascii="Arial" w:hAnsi="Arial"/>
        <w:sz w:val="12"/>
      </w:rPr>
      <w:tab/>
    </w:r>
    <w:r w:rsidR="00C63C6D">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D63436">
    <w:pPr>
      <w:pStyle w:val="Cabealho"/>
    </w:pPr>
    <w:r>
      <w:rPr>
        <w:noProof/>
        <w:lang w:eastAsia="pt-BR"/>
      </w:rPr>
      <w:drawing>
        <wp:inline distT="0" distB="0" distL="0" distR="0" wp14:anchorId="649EFF84" wp14:editId="42BD4445">
          <wp:extent cx="6030167" cy="1105054"/>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 TÍTULO.png"/>
                  <pic:cNvPicPr/>
                </pic:nvPicPr>
                <pic:blipFill>
                  <a:blip r:embed="rId1">
                    <a:extLst>
                      <a:ext uri="{28A0092B-C50C-407E-A947-70E740481C1C}">
                        <a14:useLocalDpi xmlns:a14="http://schemas.microsoft.com/office/drawing/2010/main" val="0"/>
                      </a:ext>
                    </a:extLst>
                  </a:blip>
                  <a:stretch>
                    <a:fillRect/>
                  </a:stretch>
                </pic:blipFill>
                <pic:spPr>
                  <a:xfrm>
                    <a:off x="0" y="0"/>
                    <a:ext cx="6030167" cy="11050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48833"/>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2B0"/>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B41F5"/>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63436"/>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14:docId w14:val="24593E6D"/>
  <w15:docId w15:val="{F565CD58-0BE2-41D2-AA24-1E61D769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aliases w:val="Segundo,Lista_Bolitas,Titulo 4_3,Lista sin Numerar,Párrafo,Lista de nivel 1,Bullet List,FooterText,numbered,Paragraphe de liste1,Bulletr List Paragraph,列出段落,列出段落1,List Paragraph2,List Paragraph21,Listeafsnit1"/>
    <w:basedOn w:val="Normal"/>
    <w:link w:val="PargrafodaListaChar"/>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customStyle="1" w:styleId="PargrafodaListaChar">
    <w:name w:val="Parágrafo da Lista Char"/>
    <w:aliases w:val="Segundo Char,Lista_Bolitas Char,Titulo 4_3 Char,Lista sin Numerar Char,Párrafo Char,Lista de nivel 1 Char,Bullet List Char,FooterText Char,numbered Char,Paragraphe de liste1 Char,Bulletr List Paragraph Char,列出段落 Char,列出段落1 Char"/>
    <w:link w:val="PargrafodaLista"/>
    <w:uiPriority w:val="1"/>
    <w:locked/>
    <w:rsid w:val="005B41F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4F7C5-29C0-45B7-ADC2-B00E8618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4826</Words>
  <Characters>26061</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Mateus Henrique Amanso Batista</cp:lastModifiedBy>
  <cp:revision>40</cp:revision>
  <dcterms:created xsi:type="dcterms:W3CDTF">2023-02-09T16:16:00Z</dcterms:created>
  <dcterms:modified xsi:type="dcterms:W3CDTF">2026-03-17T19:39:00Z</dcterms:modified>
</cp:coreProperties>
</file>